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23AA46F6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C03619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C03619">
        <w:rPr>
          <w:rFonts w:ascii="Arial Narrow" w:hAnsi="Arial Narrow" w:cs="Arial"/>
          <w:sz w:val="22"/>
          <w:szCs w:val="22"/>
        </w:rPr>
        <w:t>výzvy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6925BA7B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5A551F">
        <w:rPr>
          <w:rFonts w:ascii="Arial Narrow" w:hAnsi="Arial Narrow"/>
          <w:b/>
          <w:bCs/>
          <w:kern w:val="32"/>
          <w:sz w:val="22"/>
          <w:szCs w:val="22"/>
        </w:rPr>
        <w:t>1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/A/202</w:t>
      </w:r>
      <w:r w:rsidR="00B75707">
        <w:rPr>
          <w:rFonts w:ascii="Arial Narrow" w:hAnsi="Arial Narrow"/>
          <w:b/>
          <w:bCs/>
          <w:kern w:val="32"/>
          <w:sz w:val="22"/>
          <w:szCs w:val="22"/>
        </w:rPr>
        <w:t>2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C03619">
        <w:rPr>
          <w:rFonts w:ascii="Arial Narrow" w:hAnsi="Arial Narrow"/>
          <w:b/>
          <w:bCs/>
          <w:kern w:val="32"/>
          <w:sz w:val="22"/>
          <w:szCs w:val="22"/>
        </w:rPr>
        <w:t>INTERREG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08ACCC8E" w14:textId="77777777" w:rsidR="007149F1" w:rsidRPr="007149F1" w:rsidRDefault="007149F1" w:rsidP="007149F1">
      <w:pPr>
        <w:keepNext/>
        <w:ind w:left="360" w:right="458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7149F1">
        <w:rPr>
          <w:rFonts w:ascii="Arial Narrow" w:hAnsi="Arial Narrow"/>
          <w:b/>
          <w:sz w:val="24"/>
          <w:szCs w:val="24"/>
        </w:rPr>
        <w:t>Obstaranie zariadení pre projekt pod názvom „Spracovanie miestnych produktov.“</w:t>
      </w:r>
    </w:p>
    <w:p w14:paraId="7346E579" w14:textId="01DE398A" w:rsidR="008A5FC2" w:rsidRDefault="008A5FC2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 w:rsidRPr="008A5FC2">
        <w:rPr>
          <w:rFonts w:ascii="Arial Narrow" w:hAnsi="Arial Narrow"/>
          <w:b/>
          <w:sz w:val="24"/>
          <w:szCs w:val="24"/>
        </w:rPr>
        <w:t>1.časť predmetu zákazky – Extraktor</w:t>
      </w:r>
    </w:p>
    <w:p w14:paraId="29F5FDD9" w14:textId="1DAF907E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nasl.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262F5E2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AEH, spol. s r.o.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05C96A5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Šenkvická cesta 14/J, 902 01 Pezinok</w:t>
      </w:r>
    </w:p>
    <w:p w14:paraId="70727266" w14:textId="192CB7A6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Mgr. Ladislav Hajko – konateľ spoločnosti</w:t>
      </w:r>
    </w:p>
    <w:p w14:paraId="5A453FEB" w14:textId="147E374D" w:rsidR="007B7850" w:rsidRPr="005346D5" w:rsidRDefault="00626C20" w:rsidP="00C03619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C03619">
        <w:rPr>
          <w:rFonts w:ascii="Arial Narrow" w:hAnsi="Arial Narrow" w:cs="Arial"/>
          <w:sz w:val="22"/>
          <w:szCs w:val="22"/>
        </w:rPr>
        <w:t>v </w:t>
      </w:r>
      <w:r w:rsidR="00C03619" w:rsidRPr="00C03619">
        <w:rPr>
          <w:rFonts w:ascii="Arial Narrow" w:hAnsi="Arial Narrow" w:cs="Arial"/>
          <w:sz w:val="22"/>
          <w:szCs w:val="22"/>
        </w:rPr>
        <w:t>Obchodn</w:t>
      </w:r>
      <w:r w:rsidR="00C03619">
        <w:rPr>
          <w:rFonts w:ascii="Arial Narrow" w:hAnsi="Arial Narrow" w:cs="Arial"/>
          <w:sz w:val="22"/>
          <w:szCs w:val="22"/>
        </w:rPr>
        <w:t xml:space="preserve">om </w:t>
      </w:r>
      <w:r w:rsidR="00C03619" w:rsidRPr="00C03619">
        <w:rPr>
          <w:rFonts w:ascii="Arial Narrow" w:hAnsi="Arial Narrow" w:cs="Arial"/>
          <w:sz w:val="22"/>
          <w:szCs w:val="22"/>
        </w:rPr>
        <w:t>registr</w:t>
      </w:r>
      <w:r w:rsidR="00C03619">
        <w:rPr>
          <w:rFonts w:ascii="Arial Narrow" w:hAnsi="Arial Narrow" w:cs="Arial"/>
          <w:sz w:val="22"/>
          <w:szCs w:val="22"/>
        </w:rPr>
        <w:t>i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 Okresného súdu Bratislava I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>Oddiel:  Sro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Vložka číslo:  </w:t>
      </w:r>
      <w:r w:rsidR="007149F1" w:rsidRPr="007149F1">
        <w:rPr>
          <w:rFonts w:ascii="Arial Narrow" w:hAnsi="Arial Narrow" w:cs="Arial"/>
          <w:sz w:val="22"/>
          <w:szCs w:val="22"/>
        </w:rPr>
        <w:t>16024/B</w:t>
      </w:r>
    </w:p>
    <w:p w14:paraId="2D1038B6" w14:textId="580D5FBB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35 732 890</w:t>
      </w:r>
    </w:p>
    <w:p w14:paraId="625C64EC" w14:textId="5B4D6A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2020203757</w:t>
      </w:r>
    </w:p>
    <w:p w14:paraId="376C7429" w14:textId="76A5EA7D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SK 2020203757</w:t>
      </w:r>
    </w:p>
    <w:p w14:paraId="56B12535" w14:textId="4F67098A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74C69">
        <w:rPr>
          <w:rFonts w:ascii="Arial Narrow" w:hAnsi="Arial Narrow"/>
          <w:sz w:val="22"/>
          <w:szCs w:val="22"/>
        </w:rPr>
        <w:t>Československá obchodná banka a. s.</w:t>
      </w:r>
    </w:p>
    <w:p w14:paraId="52164488" w14:textId="28F2227F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774C69" w:rsidRPr="00774C69">
        <w:rPr>
          <w:rFonts w:ascii="Arial Narrow" w:hAnsi="Arial Narrow" w:cs="Calibri"/>
          <w:bCs/>
          <w:sz w:val="22"/>
          <w:szCs w:val="22"/>
        </w:rPr>
        <w:t>SK56 7500 0000 0040 0424 7308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7777777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363917F1" w:rsidR="009A356C" w:rsidRPr="00AC2711" w:rsidRDefault="004E4710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AEH, spol. s r.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o.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obstarávateľský subjekt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Jednotn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ej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príručk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pre žiadateľov/prijímateľov k procesu a kontrole verejného obstarávania / obstarávania pre Programové obdobie 2014 – 2020 (verzia 2 s dátumom účinnosti od 31.03.2022)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7C328B">
        <w:rPr>
          <w:rFonts w:ascii="Arial Narrow" w:hAnsi="Arial Narrow"/>
          <w:sz w:val="22"/>
          <w:szCs w:val="22"/>
          <w:lang w:val="sk-SK" w:eastAsia="en-US"/>
        </w:rPr>
        <w:t>výzvou na predkladanie ponúk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>
        <w:rPr>
          <w:rFonts w:ascii="Arial Narrow" w:hAnsi="Arial Narrow"/>
          <w:sz w:val="22"/>
          <w:szCs w:val="22"/>
          <w:lang w:val="sk-SK" w:eastAsia="en-US"/>
        </w:rPr>
        <w:t>na webovom sídle kupujúceho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5A1AA0">
        <w:rPr>
          <w:rFonts w:ascii="Arial Narrow" w:hAnsi="Arial Narrow"/>
          <w:b/>
          <w:bCs/>
          <w:sz w:val="22"/>
          <w:szCs w:val="22"/>
          <w:lang w:val="sk-SK" w:eastAsia="en-US"/>
        </w:rPr>
        <w:t>07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5A1AA0">
        <w:rPr>
          <w:rFonts w:ascii="Arial Narrow" w:hAnsi="Arial Narrow"/>
          <w:b/>
          <w:bCs/>
          <w:sz w:val="22"/>
          <w:szCs w:val="22"/>
          <w:lang w:val="sk-SK" w:eastAsia="en-US"/>
        </w:rPr>
        <w:t>6</w:t>
      </w:r>
      <w:r w:rsidR="009038F4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2022</w:t>
      </w:r>
      <w:r w:rsidR="00B341F8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 w:eastAsia="en-US"/>
        </w:rPr>
        <w:t>Obstaranie zariadení pre projekt pod názvom „Spracovanie miestnych produktov.“</w:t>
      </w:r>
    </w:p>
    <w:p w14:paraId="7044063F" w14:textId="47ACAFD0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na obstaranie tovarov v súlade s Jednotnou príručkou pre žiadateľov/prijímateľov k procesu a kontrole verejného obstarávania / obstarávania pre Programové obdobie 2014 – 2020 (verzia 2 s dátumom účinnosti od 31.03.2022)</w:t>
      </w:r>
      <w:r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55411E61" w:rsidR="000B50A1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„Spracovanie miestnych produktov.“  (projekt č. SKHU/1901/3.1/003)  ktorý je financovaný z Programu spolupráce Interreg V-A Slovenská republika-Maďarsko (EFRR – Európsky fond regionálneho rozvoja).  </w:t>
      </w:r>
    </w:p>
    <w:p w14:paraId="1543B740" w14:textId="7D6EB1CD" w:rsidR="00267F4A" w:rsidRDefault="006B7E42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Kupujúci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si vyhradzuje právo odstúpiť od zmluvy s úspešným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predávajúcim 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bez akýchkoľvek sankcií a nárokov všetkých strán a ďalej postupovať v súlade s pokynmi Riadiaceho orgánu/Sprostredkovateľského orgánu a s Jednotnou príručkou pre žiadateľov/prijímateľov k procesu a kontrole verejného obstarávania / obstarávania pre Programové obdobie 2014 – 2020 (verzia 2 s dátumom účinnosti od 31.03.2022) v prípade neschválenia nenávratného finančného príspevku, resp. ak výsledky administratívnej finančnej kontroly poskytovateľa nenávratného finančného príspevku neumožňujú financovanie výdavkov súvisiacich s predmetom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znluvy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výsledku procesu obstarávania tovarov, služieb alebo stavebných prác alebo výsledku iných postupov.</w:t>
      </w:r>
    </w:p>
    <w:p w14:paraId="1A2BF0A6" w14:textId="6FD1072F" w:rsidR="00267F4A" w:rsidRPr="00267F4A" w:rsidRDefault="00267F4A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>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F312E9E" w14:textId="6DFB37E7" w:rsidR="004F0792" w:rsidRPr="008C0150" w:rsidRDefault="009430F2" w:rsidP="008C0150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technologické vybavenie:</w:t>
      </w:r>
      <w:r w:rsidR="004F0792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</w:p>
    <w:tbl>
      <w:tblPr>
        <w:tblW w:w="907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268"/>
        <w:gridCol w:w="1843"/>
      </w:tblGrid>
      <w:tr w:rsidR="008C0150" w:rsidRPr="0044690B" w14:paraId="514E971B" w14:textId="77777777" w:rsidTr="00BA4818">
        <w:trPr>
          <w:trHeight w:val="6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4976F71" w14:textId="77777777" w:rsidR="008C0150" w:rsidRPr="0044690B" w:rsidRDefault="008C0150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AC60F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Názov položky pre 1. časť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9B330B" w14:textId="77777777" w:rsidR="008C0150" w:rsidRPr="0044690B" w:rsidRDefault="008C0150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Merná jednotka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020389" w14:textId="77777777" w:rsidR="008C0150" w:rsidRPr="0044690B" w:rsidRDefault="008C0150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Počet</w:t>
            </w:r>
          </w:p>
        </w:tc>
      </w:tr>
      <w:tr w:rsidR="008C0150" w:rsidRPr="0044690B" w14:paraId="25BA91B9" w14:textId="77777777" w:rsidTr="00BA4818">
        <w:trPr>
          <w:trHeight w:val="133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B5DB" w14:textId="77777777" w:rsidR="008C0150" w:rsidRPr="0044690B" w:rsidRDefault="008C0150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 xml:space="preserve">Extraktor.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8499" w14:textId="77777777" w:rsidR="008C0150" w:rsidRPr="0044690B" w:rsidRDefault="008C0150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kus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CCF5" w14:textId="77777777" w:rsidR="008C0150" w:rsidRPr="0044690B" w:rsidRDefault="008C0150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1</w:t>
            </w:r>
          </w:p>
        </w:tc>
      </w:tr>
    </w:tbl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14"/>
        <w:gridCol w:w="3942"/>
        <w:gridCol w:w="1710"/>
      </w:tblGrid>
      <w:tr w:rsidR="005A1AA0" w:rsidRPr="00BE39BC" w14:paraId="6C7EE46A" w14:textId="77777777" w:rsidTr="004610EA">
        <w:trPr>
          <w:trHeight w:val="658"/>
        </w:trPr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331AE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E39BC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00"/>
              </w:rPr>
              <w:t>1.časť predmetu zákazky – Extraktor.</w:t>
            </w:r>
            <w:r w:rsidRPr="00BE39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14:paraId="21F5C478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Mobiln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BE39BC">
              <w:rPr>
                <w:rFonts w:ascii="Arial Narrow" w:hAnsi="Arial Narrow"/>
                <w:sz w:val="22"/>
                <w:szCs w:val="22"/>
              </w:rPr>
              <w:t>kontinuálne zariadenie na získavanie reziduálnych sacharidov z výliskov hrozna</w:t>
            </w:r>
          </w:p>
        </w:tc>
      </w:tr>
      <w:tr w:rsidR="005A1AA0" w:rsidRPr="00BE39BC" w14:paraId="53D71309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B8E2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b/>
                <w:bCs/>
                <w:sz w:val="22"/>
                <w:szCs w:val="22"/>
                <w:lang w:val="pt-PT"/>
              </w:rPr>
              <w:t>Parameter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A920A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b/>
                <w:bCs/>
                <w:sz w:val="22"/>
                <w:szCs w:val="22"/>
              </w:rPr>
              <w:t>Požadovaný rozsah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15E9A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b/>
                <w:bCs/>
                <w:sz w:val="22"/>
                <w:szCs w:val="22"/>
              </w:rPr>
              <w:t>Poznámka</w:t>
            </w:r>
          </w:p>
        </w:tc>
      </w:tr>
      <w:tr w:rsidR="005A1AA0" w:rsidRPr="00BE39BC" w14:paraId="0F3BCAFB" w14:textId="77777777" w:rsidTr="004610EA">
        <w:trPr>
          <w:trHeight w:val="49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218FB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Násypka s plynulou reguláciu dávkovania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557C8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Obsah min 100 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58493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2DA616C4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6AEEB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Výkon- množstvo výliskov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11588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600-1200 kg/hod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3EA08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196F361E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41938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Zdržná doba výliskov v zariadení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86624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20-40 minút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34306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36BEDF52" w14:textId="77777777" w:rsidTr="004610EA">
        <w:trPr>
          <w:trHeight w:val="74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BD6F7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Plynulá manuálna regulácia prietoku  extrakčn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BE39BC">
              <w:rPr>
                <w:rFonts w:ascii="Arial Narrow" w:hAnsi="Arial Narrow"/>
                <w:sz w:val="22"/>
                <w:szCs w:val="22"/>
              </w:rPr>
              <w:t>ho činidla( pitná voda)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2B92A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V rozsah 300-1000 l/hod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66EA1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58C95696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A158B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>Materi</w:t>
            </w:r>
            <w:r w:rsidRPr="00BE39BC">
              <w:rPr>
                <w:rFonts w:ascii="Arial Narrow" w:hAnsi="Arial Narrow"/>
                <w:sz w:val="22"/>
                <w:szCs w:val="22"/>
              </w:rPr>
              <w:t>ál v styku so surovinou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95DA5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Nerez 1.4301 alebo ekvivalent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A6F37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1C5BDC84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BAEE1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Nap</w:t>
            </w:r>
            <w:r w:rsidRPr="00BE39BC">
              <w:rPr>
                <w:rFonts w:ascii="Arial Narrow" w:hAnsi="Arial Narrow"/>
                <w:sz w:val="22"/>
                <w:szCs w:val="22"/>
              </w:rPr>
              <w:t>ájanie – pohyblivý prívod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0C747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3f/400V/50Hz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9CAF4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15DFC515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780AF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Príkon zariadenia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06D0E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 Do 10 kW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5D65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11B93E85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884DB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Krytie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D9150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IP 44 min.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C760B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108B5C2C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0227A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Čistenie a sanitácia aktívnych častí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7519A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Jednoduchý prístup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4C05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3FCE70B9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BBD4E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lastRenderedPageBreak/>
              <w:t>Natáčacie kolieska na podvozku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3173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7F9FF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7FDA5416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72ED0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Aretácia koliesok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D7F4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85ED2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0EBA49EB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8B9DD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Ťažn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BE39BC">
              <w:rPr>
                <w:rFonts w:ascii="Arial Narrow" w:hAnsi="Arial Narrow"/>
                <w:sz w:val="22"/>
                <w:szCs w:val="22"/>
              </w:rPr>
              <w:t>a riadiace ojo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F4674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E8AA8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6B34677B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26BA7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b/>
                <w:bCs/>
                <w:sz w:val="22"/>
                <w:szCs w:val="22"/>
              </w:rPr>
              <w:t>Ďalšie požiadavky v cene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8B0BF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16960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606FE767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2D131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CE certifik</w:t>
            </w:r>
            <w:r w:rsidRPr="00BE39BC">
              <w:rPr>
                <w:rFonts w:ascii="Arial Narrow" w:hAnsi="Arial Narrow"/>
                <w:sz w:val="22"/>
                <w:szCs w:val="22"/>
              </w:rPr>
              <w:t>át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03A36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61BA8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005FCF4F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D3F7F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Doprava na určen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BE39BC">
              <w:rPr>
                <w:rFonts w:ascii="Arial Narrow" w:hAnsi="Arial Narrow"/>
                <w:sz w:val="22"/>
                <w:szCs w:val="22"/>
              </w:rPr>
              <w:t>miesto v cene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9C640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5A4B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5E7D0E74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0B7ED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Kompletizácia u zákazníka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D0214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6840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41697A84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629C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da-DK"/>
              </w:rPr>
              <w:t>Sk</w:t>
            </w:r>
            <w:r w:rsidRPr="00BE39BC">
              <w:rPr>
                <w:rFonts w:ascii="Arial Narrow" w:hAnsi="Arial Narrow"/>
                <w:sz w:val="22"/>
                <w:szCs w:val="22"/>
              </w:rPr>
              <w:t xml:space="preserve">úšobná </w:t>
            </w: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>prev</w:t>
            </w:r>
            <w:r w:rsidRPr="00BE39BC">
              <w:rPr>
                <w:rFonts w:ascii="Arial Narrow" w:hAnsi="Arial Narrow"/>
                <w:sz w:val="22"/>
                <w:szCs w:val="22"/>
              </w:rPr>
              <w:t xml:space="preserve">ádzka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3FF25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00DAD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7E7B50EC" w14:textId="77777777" w:rsidTr="004610EA">
        <w:trPr>
          <w:trHeight w:val="75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DFD89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Kvalifikovan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BE39BC">
              <w:rPr>
                <w:rFonts w:ascii="Arial Narrow" w:hAnsi="Arial Narrow"/>
                <w:sz w:val="22"/>
                <w:szCs w:val="22"/>
              </w:rPr>
              <w:t>zaškolenie obsluhy– 2 osoby v rozsahu  min 10 hodín poč</w:t>
            </w:r>
            <w:r w:rsidRPr="00BE39BC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r w:rsidRPr="00BE39BC">
              <w:rPr>
                <w:rFonts w:ascii="Arial Narrow" w:hAnsi="Arial Narrow"/>
                <w:sz w:val="22"/>
                <w:szCs w:val="22"/>
              </w:rPr>
              <w:t>ádzky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4339C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C9C0C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0C106104" w14:textId="77777777" w:rsidTr="004610EA">
        <w:trPr>
          <w:trHeight w:val="101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6265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Kvalifikovan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BE39BC">
              <w:rPr>
                <w:rFonts w:ascii="Arial Narrow" w:hAnsi="Arial Narrow"/>
                <w:sz w:val="22"/>
                <w:szCs w:val="22"/>
              </w:rPr>
              <w:t>zaškolenie základn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BE39BC">
              <w:rPr>
                <w:rFonts w:ascii="Arial Narrow" w:hAnsi="Arial Narrow"/>
                <w:sz w:val="22"/>
                <w:szCs w:val="22"/>
              </w:rPr>
              <w:t>ho servisu 2 osoby</w:t>
            </w:r>
          </w:p>
          <w:p w14:paraId="30B7B5DA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v rozsahu  min 5 hodín poč</w:t>
            </w:r>
            <w:r w:rsidRPr="00BE39BC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r w:rsidRPr="00BE39BC">
              <w:rPr>
                <w:rFonts w:ascii="Arial Narrow" w:hAnsi="Arial Narrow"/>
                <w:sz w:val="22"/>
                <w:szCs w:val="22"/>
              </w:rPr>
              <w:t>ádzky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83B06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D0BF4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1C0BD86C" w14:textId="77777777" w:rsidTr="004610EA">
        <w:trPr>
          <w:trHeight w:val="49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693F8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Dodávka a uvedenie do ostrej prevádzky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76FCD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Do 20 týždňov od platnosti a účinnosti  zmluvy.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FC18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2D1E73A0" w14:textId="77777777" w:rsidTr="004610EA">
        <w:trPr>
          <w:trHeight w:val="49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A6774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Záručná doba od odovzdania do prevádzky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F73CE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 xml:space="preserve">48 mesiacov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A7530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10609D44" w14:textId="77777777" w:rsidTr="004610EA">
        <w:trPr>
          <w:trHeight w:val="49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69C04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>Servis- n</w:t>
            </w:r>
            <w:r w:rsidRPr="00BE39BC">
              <w:rPr>
                <w:rFonts w:ascii="Arial Narrow" w:hAnsi="Arial Narrow"/>
                <w:sz w:val="22"/>
                <w:szCs w:val="22"/>
              </w:rPr>
              <w:t>ástup kvalifikovan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BE39BC">
              <w:rPr>
                <w:rFonts w:ascii="Arial Narrow" w:hAnsi="Arial Narrow"/>
                <w:sz w:val="22"/>
                <w:szCs w:val="22"/>
              </w:rPr>
              <w:t>ho pracovníka na mieste inštalácie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0598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en-US"/>
              </w:rPr>
              <w:t xml:space="preserve">Do </w:t>
            </w:r>
            <w:r w:rsidRPr="00BE39BC">
              <w:rPr>
                <w:rFonts w:ascii="Arial Narrow" w:hAnsi="Arial Narrow"/>
                <w:sz w:val="22"/>
                <w:szCs w:val="22"/>
              </w:rPr>
              <w:t>72 hodín od nahlásenia zodpovedn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BE39BC">
              <w:rPr>
                <w:rFonts w:ascii="Arial Narrow" w:hAnsi="Arial Narrow"/>
                <w:sz w:val="22"/>
                <w:szCs w:val="22"/>
              </w:rPr>
              <w:t xml:space="preserve">mu pracovníkovi. 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F5E47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7480AF78" w14:textId="77777777" w:rsidTr="004610EA">
        <w:trPr>
          <w:trHeight w:val="15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DFA84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Potrebná Dokumentácia v SK/CZ jazyku</w:t>
            </w:r>
          </w:p>
          <w:p w14:paraId="2D00785D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Návod na obsluhu</w:t>
            </w:r>
          </w:p>
          <w:p w14:paraId="06165C88" w14:textId="77777777" w:rsidR="005A1AA0" w:rsidRPr="00BE39BC" w:rsidRDefault="005A1AA0" w:rsidP="005A1AA0">
            <w:pPr>
              <w:pStyle w:val="Odsekzoznamu"/>
              <w:numPr>
                <w:ilvl w:val="0"/>
                <w:numId w:val="40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>Elektrosch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BE39BC">
              <w:rPr>
                <w:rFonts w:ascii="Arial Narrow" w:hAnsi="Arial Narrow"/>
                <w:sz w:val="22"/>
                <w:szCs w:val="22"/>
                <w:lang w:val="de-DE"/>
              </w:rPr>
              <w:t>ma  -vr</w:t>
            </w:r>
            <w:r w:rsidRPr="00BE39BC">
              <w:rPr>
                <w:rFonts w:ascii="Arial Narrow" w:hAnsi="Arial Narrow"/>
                <w:sz w:val="22"/>
                <w:szCs w:val="22"/>
              </w:rPr>
              <w:t>átane revíznej správy</w:t>
            </w:r>
          </w:p>
          <w:p w14:paraId="22E89198" w14:textId="77777777" w:rsidR="005A1AA0" w:rsidRPr="00BE39BC" w:rsidRDefault="005A1AA0" w:rsidP="005A1AA0">
            <w:pPr>
              <w:pStyle w:val="Odsekzoznamu"/>
              <w:numPr>
                <w:ilvl w:val="0"/>
                <w:numId w:val="40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Technick</w:t>
            </w:r>
            <w:r w:rsidRPr="00BE39B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BE39BC">
              <w:rPr>
                <w:rFonts w:ascii="Arial Narrow" w:hAnsi="Arial Narrow"/>
                <w:sz w:val="22"/>
                <w:szCs w:val="22"/>
              </w:rPr>
              <w:t>výkresy pre servis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632EF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</w:p>
          <w:p w14:paraId="077CD5F1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</w:p>
          <w:p w14:paraId="5B282D3B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</w:t>
            </w:r>
            <w:r w:rsidRPr="00BE39BC">
              <w:rPr>
                <w:rFonts w:ascii="Arial Narrow" w:hAnsi="Arial Narrow"/>
                <w:sz w:val="22"/>
                <w:szCs w:val="22"/>
                <w:lang w:val="it-IT"/>
              </w:rPr>
              <w:t xml:space="preserve">no </w:t>
            </w:r>
          </w:p>
          <w:p w14:paraId="2F5C107E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79F1865D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</w:p>
          <w:p w14:paraId="41BCA0C3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01FCB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1AA0" w:rsidRPr="00BE39BC" w14:paraId="46EBD5F7" w14:textId="77777777" w:rsidTr="004610EA">
        <w:trPr>
          <w:trHeight w:val="23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89133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Minimálna sada náhradných dielov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F5B8" w14:textId="77777777" w:rsidR="005A1AA0" w:rsidRPr="00BE39BC" w:rsidRDefault="005A1AA0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BE39B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D636B" w14:textId="77777777" w:rsidR="005A1AA0" w:rsidRPr="00BE39BC" w:rsidRDefault="005A1AA0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0587164" w14:textId="77777777" w:rsidR="008C0150" w:rsidRPr="00A4644B" w:rsidRDefault="008C0150" w:rsidP="008C0150">
      <w:pPr>
        <w:jc w:val="both"/>
        <w:rPr>
          <w:rFonts w:cstheme="minorHAnsi"/>
          <w:highlight w:val="yellow"/>
        </w:rPr>
      </w:pPr>
    </w:p>
    <w:p w14:paraId="27506724" w14:textId="76232A77" w:rsidR="00B71BC3" w:rsidRPr="00F97F97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647D5A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647D5A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647D5A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647D5A">
        <w:rPr>
          <w:rFonts w:ascii="Arial Narrow" w:hAnsi="Arial Narrow"/>
          <w:bCs/>
          <w:iCs/>
          <w:sz w:val="22"/>
          <w:szCs w:val="22"/>
        </w:rPr>
        <w:t>)</w:t>
      </w:r>
      <w:r w:rsidR="00FF6757" w:rsidRPr="00647D5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97F97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lastRenderedPageBreak/>
        <w:t xml:space="preserve">prevziať a zaplatiť zaň dohodnutú  kúpnu cenu v zmysle čl. 3 tejto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Z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>mluvy.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>
        <w:rPr>
          <w:rFonts w:ascii="Arial Narrow" w:hAnsi="Arial Narrow"/>
          <w:bCs/>
          <w:iCs/>
          <w:sz w:val="22"/>
          <w:szCs w:val="22"/>
        </w:rPr>
        <w:t>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6C85745D" w:rsidR="00B71BC3" w:rsidRPr="000A2029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814492">
        <w:rPr>
          <w:rFonts w:ascii="Arial Narrow" w:hAnsi="Arial Narrow"/>
          <w:sz w:val="22"/>
          <w:szCs w:val="22"/>
        </w:rPr>
        <w:t xml:space="preserve"> 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5A1AA0">
        <w:rPr>
          <w:rFonts w:ascii="Arial Narrow" w:hAnsi="Arial Narrow"/>
          <w:b/>
          <w:bCs/>
          <w:sz w:val="22"/>
          <w:szCs w:val="22"/>
        </w:rPr>
        <w:t>07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.0</w:t>
      </w:r>
      <w:r w:rsidR="005A1AA0">
        <w:rPr>
          <w:rFonts w:ascii="Arial Narrow" w:hAnsi="Arial Narrow"/>
          <w:b/>
          <w:bCs/>
          <w:sz w:val="22"/>
          <w:szCs w:val="22"/>
        </w:rPr>
        <w:t>6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.2022</w:t>
      </w:r>
      <w:r w:rsidR="0081449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>
        <w:rPr>
          <w:rFonts w:ascii="Arial Narrow" w:hAnsi="Arial Narrow"/>
          <w:sz w:val="22"/>
          <w:szCs w:val="22"/>
        </w:rPr>
        <w:t>procesu</w:t>
      </w:r>
      <w:r w:rsidRPr="00073025">
        <w:rPr>
          <w:rFonts w:ascii="Arial Narrow" w:hAnsi="Arial Narrow"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</w:t>
      </w:r>
      <w:r w:rsidR="00814492">
        <w:rPr>
          <w:rFonts w:ascii="Arial Narrow" w:hAnsi="Arial Narrow"/>
          <w:sz w:val="22"/>
          <w:szCs w:val="22"/>
        </w:rPr>
        <w:t>á</w:t>
      </w:r>
      <w:r w:rsidR="000B6144" w:rsidRPr="00F97F97">
        <w:rPr>
          <w:rFonts w:ascii="Arial Narrow" w:hAnsi="Arial Narrow"/>
          <w:sz w:val="22"/>
          <w:szCs w:val="22"/>
        </w:rPr>
        <w:t xml:space="preserve"> tvor</w:t>
      </w:r>
      <w:r w:rsidR="00814492">
        <w:rPr>
          <w:rFonts w:ascii="Arial Narrow" w:hAnsi="Arial Narrow"/>
          <w:sz w:val="22"/>
          <w:szCs w:val="22"/>
        </w:rPr>
        <w:t>í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C111A51" w14:textId="77777777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23C9BBB" w14:textId="1765865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CDEF239" w14:textId="7FFF46E6" w:rsidR="007E3FFD" w:rsidRDefault="007E3FFD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F4FEFB8" w14:textId="38AC63F3" w:rsidR="007E3FFD" w:rsidRDefault="007E3FFD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8832FBA" w14:textId="66DB8C5B" w:rsidR="007E3FFD" w:rsidRDefault="007E3FFD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0FA45CA6" w14:textId="2F82FAC3" w:rsidR="000A05FD" w:rsidRDefault="000A05FD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EDAD5FE" w14:textId="77777777" w:rsidR="000A05FD" w:rsidRDefault="000A05FD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7E4F6BAA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A84B48">
        <w:rPr>
          <w:rFonts w:ascii="Arial Narrow" w:hAnsi="Arial Narrow"/>
          <w:b/>
          <w:iCs/>
          <w:color w:val="000000"/>
          <w:sz w:val="22"/>
          <w:szCs w:val="22"/>
        </w:rPr>
        <w:t>dvadsiatich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A84B48">
        <w:rPr>
          <w:rFonts w:ascii="Arial Narrow" w:hAnsi="Arial Narrow"/>
          <w:b/>
          <w:iCs/>
          <w:color w:val="000000"/>
          <w:sz w:val="22"/>
          <w:szCs w:val="22"/>
        </w:rPr>
        <w:t>20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13F3E91A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>AEH, spol. s r.o., Šenkvická cesta 14/J, 902 01 Pezinok</w:t>
      </w:r>
    </w:p>
    <w:p w14:paraId="2AD6DFC1" w14:textId="24FF0673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r w:rsidR="00131225" w:rsidRPr="00CC5B2F">
        <w:rPr>
          <w:rFonts w:ascii="Arial Narrow" w:hAnsi="Arial Narrow"/>
          <w:b/>
          <w:bCs/>
          <w:sz w:val="22"/>
          <w:szCs w:val="22"/>
        </w:rPr>
        <w:t>p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án</w:t>
      </w:r>
      <w:r w:rsidR="00427276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Mgr. Ladislav Hajko</w:t>
      </w:r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525BDB" w:rsidRPr="00CC5B2F">
        <w:rPr>
          <w:rFonts w:ascii="Arial Narrow" w:hAnsi="Arial Narrow"/>
          <w:b/>
          <w:bCs/>
          <w:sz w:val="22"/>
          <w:szCs w:val="22"/>
        </w:rPr>
        <w:t>+421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 902 903 000 </w:t>
      </w:r>
      <w:r w:rsidRPr="00CC5B2F">
        <w:rPr>
          <w:rFonts w:ascii="Arial Narrow" w:hAnsi="Arial Narrow"/>
          <w:sz w:val="22"/>
          <w:szCs w:val="22"/>
        </w:rPr>
        <w:t xml:space="preserve">a následne e-mailom na adresu </w:t>
      </w:r>
      <w:hyperlink r:id="rId8" w:history="1">
        <w:r w:rsidR="00C95260" w:rsidRPr="00C95260">
          <w:rPr>
            <w:rStyle w:val="Hypertextovprepojenie"/>
            <w:b/>
            <w:bCs/>
          </w:rPr>
          <w:t>ladislav.hajko@aeh.sk</w:t>
        </w:r>
      </w:hyperlink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9454E04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73FF809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3C41725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5BACB1F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8627D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48</w:t>
      </w:r>
      <w:r w:rsid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</w:t>
      </w:r>
      <w:r w:rsidRPr="00AC2711">
        <w:rPr>
          <w:rFonts w:ascii="Arial Narrow" w:hAnsi="Arial Narrow"/>
          <w:sz w:val="22"/>
          <w:szCs w:val="22"/>
          <w:lang w:val="sk-SK"/>
        </w:rPr>
        <w:lastRenderedPageBreak/>
        <w:t xml:space="preserve">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0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0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76AA1F1B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5A1AA0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5A1AA0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5505F679" w:rsidR="00A77E42" w:rsidRPr="00545021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5A1AA0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5A1AA0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54502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5A1AA0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5A1AA0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2F43AE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5A1AA0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5A1AA0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4C468221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5A1AA0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5A1AA0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77777777" w:rsidR="00A87E27" w:rsidRPr="00A77E42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vadného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lastRenderedPageBreak/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57FAACA6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Mgr. Ladislav Hajko</w:t>
      </w:r>
    </w:p>
    <w:p w14:paraId="15033C0F" w14:textId="1C02AAD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konateľ spoločnosti</w:t>
      </w:r>
    </w:p>
    <w:p w14:paraId="3823CC57" w14:textId="2C0334D0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+421 902 903 000</w:t>
      </w:r>
    </w:p>
    <w:p w14:paraId="5062E49F" w14:textId="6B1783B5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9E7715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9E771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9" w:history="1">
        <w:r w:rsidR="00C95260" w:rsidRPr="00C95260">
          <w:rPr>
            <w:rStyle w:val="Hypertextovprepojenie"/>
            <w:rFonts w:ascii="Arial Narrow" w:hAnsi="Arial Narrow"/>
            <w:sz w:val="22"/>
            <w:szCs w:val="22"/>
          </w:rPr>
          <w:t>ladislav.hajko@aeh.sk</w:t>
        </w:r>
      </w:hyperlink>
      <w:r w:rsidR="00C95260">
        <w:t xml:space="preserve">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60B38CD" w14:textId="178ED290" w:rsidR="00931268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D3099BB" w14:textId="77777777" w:rsidR="00931268" w:rsidRPr="00AC2711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1343CF30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 xml:space="preserve">požiadaviek na potencionálneho dodávateľa podľa Výzvy zo dňa </w:t>
      </w:r>
      <w:r w:rsidR="005A1AA0">
        <w:rPr>
          <w:rFonts w:ascii="Arial Narrow" w:hAnsi="Arial Narrow" w:cs="Arial Narrow"/>
          <w:b/>
          <w:bCs/>
          <w:sz w:val="22"/>
          <w:szCs w:val="22"/>
        </w:rPr>
        <w:t>07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.0</w:t>
      </w:r>
      <w:r w:rsidR="005A1AA0">
        <w:rPr>
          <w:rFonts w:ascii="Arial Narrow" w:hAnsi="Arial Narrow" w:cs="Arial Narrow"/>
          <w:b/>
          <w:bCs/>
          <w:sz w:val="22"/>
          <w:szCs w:val="22"/>
        </w:rPr>
        <w:t>6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.2022</w:t>
      </w:r>
      <w:r w:rsidR="00795E64" w:rsidRPr="00AC2711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762D1925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</w:t>
      </w:r>
      <w:r w:rsidR="00B52965"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 dni kumulatívneho splnenia nasledovných podmienok:</w:t>
      </w:r>
    </w:p>
    <w:p w14:paraId="3B2A9076" w14:textId="5F3D5BD7" w:rsidR="00B52965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schválenie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zo strany Poskytovateľa NFP, t. j. doručenie správy z kontroly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 ktorej Poskytovateľ NFP neidentifikoval nedostatky, ktoré by mohli mať vplyv na výsledok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512D0A8E" w14:textId="5E54CE49" w:rsidR="00B52965" w:rsidRPr="00AC2711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zverejnenie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na webovej stránke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0" w:history="1">
        <w:r w:rsidR="00EF2D77" w:rsidRPr="00EF2D77">
          <w:rPr>
            <w:rStyle w:val="Hypertextovprepojenie"/>
            <w:rFonts w:ascii="Arial Narrow" w:hAnsi="Arial Narrow"/>
            <w:sz w:val="22"/>
            <w:szCs w:val="22"/>
          </w:rPr>
          <w:t>http://www.aeh.sk/</w:t>
        </w:r>
      </w:hyperlink>
      <w:r w:rsidR="00EF2D77" w:rsidRPr="00EF2D77">
        <w:rPr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2D017072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1 časť predmetu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A3362D3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7D3BAF77" w:rsidR="00DF518A" w:rsidRPr="00AC2711" w:rsidRDefault="00EB219F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B219F">
        <w:rPr>
          <w:rFonts w:ascii="Arial Narrow" w:hAnsi="Arial Narrow" w:cs="Arial"/>
          <w:b/>
          <w:bCs/>
          <w:sz w:val="22"/>
          <w:szCs w:val="22"/>
        </w:rPr>
        <w:t>AEH, spol. s r.o.</w:t>
      </w:r>
      <w:r w:rsidR="008A18B2"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F48C509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</w:t>
      </w:r>
      <w:r w:rsidR="009367C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EB219F" w:rsidRPr="00EB219F">
        <w:rPr>
          <w:rFonts w:ascii="Arial Narrow" w:hAnsi="Arial Narrow"/>
          <w:sz w:val="22"/>
          <w:szCs w:val="22"/>
        </w:rPr>
        <w:t>Mgr. Ladislav Hajko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3BD2DB1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EB219F" w:rsidRPr="00EB219F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44A37836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="00EB219F" w:rsidRPr="00EB219F">
        <w:rPr>
          <w:rFonts w:ascii="Arial Narrow" w:hAnsi="Arial Narrow" w:cs="Arial"/>
          <w:sz w:val="22"/>
          <w:szCs w:val="22"/>
        </w:rPr>
        <w:t>AEH, spol. s r.o.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428D0610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2E591F" w14:textId="081DD4C7" w:rsidR="000C5EDA" w:rsidRDefault="000C5ED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7D0AB1" w14:textId="3B33CD59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pre </w:t>
      </w:r>
      <w:r w:rsidR="007C34F7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1</w:t>
      </w:r>
      <w:r w:rsidR="00B7395D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.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 časť predmetu zákazky</w:t>
      </w:r>
    </w:p>
    <w:p w14:paraId="47CFA363" w14:textId="3F7DA5BC" w:rsidR="000C5EDA" w:rsidRPr="004D78E9" w:rsidRDefault="004D78E9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 Prílohu č.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2 Výzvy zo dňa </w:t>
      </w:r>
      <w:r w:rsidR="005A1AA0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5A1AA0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46BA09DE" w:rsidR="000C5EDA" w:rsidRPr="00071AAF" w:rsidRDefault="00071AA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7 Výzvy zo dňa </w:t>
      </w:r>
      <w:r w:rsidR="005A1AA0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5A1AA0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sectPr w:rsidR="000C5EDA" w:rsidRPr="00071AAF" w:rsidSect="00855E91">
      <w:headerReference w:type="default" r:id="rId11"/>
      <w:footerReference w:type="default" r:id="rId12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8CED" w14:textId="77777777" w:rsidR="00E539D0" w:rsidRDefault="00E539D0" w:rsidP="00F63678">
      <w:r>
        <w:separator/>
      </w:r>
    </w:p>
  </w:endnote>
  <w:endnote w:type="continuationSeparator" w:id="0">
    <w:p w14:paraId="77CD4D1E" w14:textId="77777777" w:rsidR="00E539D0" w:rsidRDefault="00E539D0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B092" w14:textId="77777777" w:rsidR="00E539D0" w:rsidRDefault="00E539D0" w:rsidP="00F63678">
      <w:r>
        <w:separator/>
      </w:r>
    </w:p>
  </w:footnote>
  <w:footnote w:type="continuationSeparator" w:id="0">
    <w:p w14:paraId="580FE6C5" w14:textId="77777777" w:rsidR="00E539D0" w:rsidRDefault="00E539D0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1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7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19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2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4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5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42327021">
    <w:abstractNumId w:val="27"/>
  </w:num>
  <w:num w:numId="2" w16cid:durableId="893200321">
    <w:abstractNumId w:val="20"/>
  </w:num>
  <w:num w:numId="3" w16cid:durableId="1611354199">
    <w:abstractNumId w:val="37"/>
  </w:num>
  <w:num w:numId="4" w16cid:durableId="696662988">
    <w:abstractNumId w:val="39"/>
  </w:num>
  <w:num w:numId="5" w16cid:durableId="406266522">
    <w:abstractNumId w:val="10"/>
  </w:num>
  <w:num w:numId="6" w16cid:durableId="1585842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58867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0471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64667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7618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5919187">
    <w:abstractNumId w:val="9"/>
  </w:num>
  <w:num w:numId="12" w16cid:durableId="10512248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41298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2556326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243845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142567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32582062">
    <w:abstractNumId w:val="34"/>
  </w:num>
  <w:num w:numId="18" w16cid:durableId="227810357">
    <w:abstractNumId w:val="2"/>
  </w:num>
  <w:num w:numId="19" w16cid:durableId="1922716938">
    <w:abstractNumId w:val="3"/>
  </w:num>
  <w:num w:numId="20" w16cid:durableId="345130942">
    <w:abstractNumId w:val="23"/>
  </w:num>
  <w:num w:numId="21" w16cid:durableId="306477086">
    <w:abstractNumId w:val="5"/>
  </w:num>
  <w:num w:numId="22" w16cid:durableId="579288925">
    <w:abstractNumId w:val="38"/>
  </w:num>
  <w:num w:numId="23" w16cid:durableId="2027366411">
    <w:abstractNumId w:val="16"/>
  </w:num>
  <w:num w:numId="24" w16cid:durableId="1007638498">
    <w:abstractNumId w:val="19"/>
  </w:num>
  <w:num w:numId="25" w16cid:durableId="889148831">
    <w:abstractNumId w:val="29"/>
  </w:num>
  <w:num w:numId="26" w16cid:durableId="345182386">
    <w:abstractNumId w:val="11"/>
  </w:num>
  <w:num w:numId="27" w16cid:durableId="1605069401">
    <w:abstractNumId w:val="22"/>
  </w:num>
  <w:num w:numId="28" w16cid:durableId="1453674125">
    <w:abstractNumId w:val="6"/>
  </w:num>
  <w:num w:numId="29" w16cid:durableId="1049185021">
    <w:abstractNumId w:val="31"/>
  </w:num>
  <w:num w:numId="30" w16cid:durableId="660890893">
    <w:abstractNumId w:val="1"/>
  </w:num>
  <w:num w:numId="31" w16cid:durableId="1427652141">
    <w:abstractNumId w:val="8"/>
  </w:num>
  <w:num w:numId="32" w16cid:durableId="2017807423">
    <w:abstractNumId w:val="28"/>
  </w:num>
  <w:num w:numId="33" w16cid:durableId="403798063">
    <w:abstractNumId w:val="30"/>
  </w:num>
  <w:num w:numId="34" w16cid:durableId="1183974060">
    <w:abstractNumId w:val="36"/>
  </w:num>
  <w:num w:numId="35" w16cid:durableId="1265847409">
    <w:abstractNumId w:val="35"/>
  </w:num>
  <w:num w:numId="36" w16cid:durableId="1415784785">
    <w:abstractNumId w:val="24"/>
  </w:num>
  <w:num w:numId="37" w16cid:durableId="1547182193">
    <w:abstractNumId w:val="17"/>
  </w:num>
  <w:num w:numId="38" w16cid:durableId="1315454666">
    <w:abstractNumId w:val="25"/>
  </w:num>
  <w:num w:numId="39" w16cid:durableId="1371102289">
    <w:abstractNumId w:val="32"/>
  </w:num>
  <w:num w:numId="40" w16cid:durableId="760106170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27ACB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A05FD"/>
    <w:rsid w:val="000A2029"/>
    <w:rsid w:val="000A229A"/>
    <w:rsid w:val="000B06A5"/>
    <w:rsid w:val="000B388B"/>
    <w:rsid w:val="000B4C7C"/>
    <w:rsid w:val="000B50A1"/>
    <w:rsid w:val="000B6144"/>
    <w:rsid w:val="000C276D"/>
    <w:rsid w:val="000C5EDA"/>
    <w:rsid w:val="000C68F8"/>
    <w:rsid w:val="000F1FA2"/>
    <w:rsid w:val="00123DBA"/>
    <w:rsid w:val="00125A04"/>
    <w:rsid w:val="00131225"/>
    <w:rsid w:val="00134D5E"/>
    <w:rsid w:val="00142FD5"/>
    <w:rsid w:val="00157632"/>
    <w:rsid w:val="00162C3C"/>
    <w:rsid w:val="00165045"/>
    <w:rsid w:val="0016664D"/>
    <w:rsid w:val="00175F09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4148"/>
    <w:rsid w:val="00234B6A"/>
    <w:rsid w:val="00251BCE"/>
    <w:rsid w:val="00257829"/>
    <w:rsid w:val="0026411D"/>
    <w:rsid w:val="00267F4A"/>
    <w:rsid w:val="00286008"/>
    <w:rsid w:val="002A3FFA"/>
    <w:rsid w:val="002A6D70"/>
    <w:rsid w:val="002A74BE"/>
    <w:rsid w:val="002B74B5"/>
    <w:rsid w:val="002C4ED5"/>
    <w:rsid w:val="002C7630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3282"/>
    <w:rsid w:val="0034787A"/>
    <w:rsid w:val="003506F0"/>
    <w:rsid w:val="003627D6"/>
    <w:rsid w:val="003714F7"/>
    <w:rsid w:val="00374031"/>
    <w:rsid w:val="00374BA6"/>
    <w:rsid w:val="0037667C"/>
    <w:rsid w:val="003833C5"/>
    <w:rsid w:val="00383737"/>
    <w:rsid w:val="0039253E"/>
    <w:rsid w:val="003A2C2C"/>
    <w:rsid w:val="003A40F0"/>
    <w:rsid w:val="003B67F6"/>
    <w:rsid w:val="003D35EA"/>
    <w:rsid w:val="003E3B5B"/>
    <w:rsid w:val="003E69F8"/>
    <w:rsid w:val="003F76D1"/>
    <w:rsid w:val="004000E8"/>
    <w:rsid w:val="00405618"/>
    <w:rsid w:val="00412D6C"/>
    <w:rsid w:val="004131E0"/>
    <w:rsid w:val="0042005C"/>
    <w:rsid w:val="00427276"/>
    <w:rsid w:val="00432036"/>
    <w:rsid w:val="004329ED"/>
    <w:rsid w:val="004347B2"/>
    <w:rsid w:val="004419B8"/>
    <w:rsid w:val="0044241E"/>
    <w:rsid w:val="00442992"/>
    <w:rsid w:val="00442F19"/>
    <w:rsid w:val="00444947"/>
    <w:rsid w:val="00486588"/>
    <w:rsid w:val="00491EA0"/>
    <w:rsid w:val="004B21DC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144CB"/>
    <w:rsid w:val="00516056"/>
    <w:rsid w:val="00525BDB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2705"/>
    <w:rsid w:val="00583B5A"/>
    <w:rsid w:val="005A1AA0"/>
    <w:rsid w:val="005A3BE8"/>
    <w:rsid w:val="005A551F"/>
    <w:rsid w:val="005B28B0"/>
    <w:rsid w:val="005F0FDC"/>
    <w:rsid w:val="005F4317"/>
    <w:rsid w:val="005F4D70"/>
    <w:rsid w:val="00626C20"/>
    <w:rsid w:val="00633BA1"/>
    <w:rsid w:val="00646E99"/>
    <w:rsid w:val="00647D5A"/>
    <w:rsid w:val="006634F6"/>
    <w:rsid w:val="00665502"/>
    <w:rsid w:val="00672748"/>
    <w:rsid w:val="00680419"/>
    <w:rsid w:val="00680848"/>
    <w:rsid w:val="006A04CB"/>
    <w:rsid w:val="006A2804"/>
    <w:rsid w:val="006A39DA"/>
    <w:rsid w:val="006A7AE3"/>
    <w:rsid w:val="006B0274"/>
    <w:rsid w:val="006B4DE4"/>
    <w:rsid w:val="006B52D8"/>
    <w:rsid w:val="006B7994"/>
    <w:rsid w:val="006B7E42"/>
    <w:rsid w:val="006D40B2"/>
    <w:rsid w:val="006F259C"/>
    <w:rsid w:val="006F48C5"/>
    <w:rsid w:val="00713AD8"/>
    <w:rsid w:val="007149F1"/>
    <w:rsid w:val="007155EF"/>
    <w:rsid w:val="00717F9A"/>
    <w:rsid w:val="00721904"/>
    <w:rsid w:val="007257B8"/>
    <w:rsid w:val="00744E48"/>
    <w:rsid w:val="00745506"/>
    <w:rsid w:val="00751663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4492"/>
    <w:rsid w:val="008150A3"/>
    <w:rsid w:val="00823015"/>
    <w:rsid w:val="00827B15"/>
    <w:rsid w:val="00831903"/>
    <w:rsid w:val="00843439"/>
    <w:rsid w:val="00844D23"/>
    <w:rsid w:val="00855E91"/>
    <w:rsid w:val="00861A36"/>
    <w:rsid w:val="008627DD"/>
    <w:rsid w:val="00880B38"/>
    <w:rsid w:val="008A18B2"/>
    <w:rsid w:val="008A333B"/>
    <w:rsid w:val="008A5FC2"/>
    <w:rsid w:val="008B5E52"/>
    <w:rsid w:val="008C0150"/>
    <w:rsid w:val="008E30D1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69FD"/>
    <w:rsid w:val="009A356C"/>
    <w:rsid w:val="009A3D69"/>
    <w:rsid w:val="009C5602"/>
    <w:rsid w:val="009C7977"/>
    <w:rsid w:val="009D5AB1"/>
    <w:rsid w:val="009E1FBA"/>
    <w:rsid w:val="009E7715"/>
    <w:rsid w:val="009F5E11"/>
    <w:rsid w:val="00A06530"/>
    <w:rsid w:val="00A104BE"/>
    <w:rsid w:val="00A10D97"/>
    <w:rsid w:val="00A20369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F6B40"/>
    <w:rsid w:val="00AF7973"/>
    <w:rsid w:val="00B01CE7"/>
    <w:rsid w:val="00B077CE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65F1"/>
    <w:rsid w:val="00BC5248"/>
    <w:rsid w:val="00BC5DF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31F9"/>
    <w:rsid w:val="00C20EB8"/>
    <w:rsid w:val="00C34275"/>
    <w:rsid w:val="00C347DB"/>
    <w:rsid w:val="00C36129"/>
    <w:rsid w:val="00C56538"/>
    <w:rsid w:val="00C77860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4831"/>
    <w:rsid w:val="00D75E6A"/>
    <w:rsid w:val="00D75F36"/>
    <w:rsid w:val="00D9373F"/>
    <w:rsid w:val="00DA0707"/>
    <w:rsid w:val="00DA7443"/>
    <w:rsid w:val="00DB1737"/>
    <w:rsid w:val="00DB17FE"/>
    <w:rsid w:val="00DC4AEE"/>
    <w:rsid w:val="00DD43D4"/>
    <w:rsid w:val="00DE283B"/>
    <w:rsid w:val="00DE53B4"/>
    <w:rsid w:val="00DF16C5"/>
    <w:rsid w:val="00DF2C1A"/>
    <w:rsid w:val="00DF3B6D"/>
    <w:rsid w:val="00DF518A"/>
    <w:rsid w:val="00DF52FE"/>
    <w:rsid w:val="00DF66E7"/>
    <w:rsid w:val="00E13821"/>
    <w:rsid w:val="00E21382"/>
    <w:rsid w:val="00E237B5"/>
    <w:rsid w:val="00E31695"/>
    <w:rsid w:val="00E444AC"/>
    <w:rsid w:val="00E45E79"/>
    <w:rsid w:val="00E539D0"/>
    <w:rsid w:val="00E545ED"/>
    <w:rsid w:val="00E6183E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6BD0"/>
    <w:rsid w:val="00F1152C"/>
    <w:rsid w:val="00F26302"/>
    <w:rsid w:val="00F30B8F"/>
    <w:rsid w:val="00F31DB9"/>
    <w:rsid w:val="00F34C7C"/>
    <w:rsid w:val="00F35333"/>
    <w:rsid w:val="00F35B0D"/>
    <w:rsid w:val="00F45882"/>
    <w:rsid w:val="00F51772"/>
    <w:rsid w:val="00F53744"/>
    <w:rsid w:val="00F63678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hajko@aeh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h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dislav.hajko@aeh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5318</Words>
  <Characters>30314</Characters>
  <Application>Microsoft Office Word</Application>
  <DocSecurity>0</DocSecurity>
  <Lines>252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16</cp:revision>
  <cp:lastPrinted>2020-06-09T13:02:00Z</cp:lastPrinted>
  <dcterms:created xsi:type="dcterms:W3CDTF">2022-05-11T07:04:00Z</dcterms:created>
  <dcterms:modified xsi:type="dcterms:W3CDTF">2022-06-06T15:04:00Z</dcterms:modified>
</cp:coreProperties>
</file>